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eastAsia="方正小标宋简体"/>
          <w:color w:val="000000" w:themeColor="text1"/>
          <w:sz w:val="44"/>
          <w:szCs w:val="44"/>
          <w:highlight w:val="none"/>
          <w14:textFill>
            <w14:solidFill>
              <w14:schemeClr w14:val="tx1"/>
            </w14:solidFill>
          </w14:textFill>
        </w:rPr>
      </w:pPr>
      <w:r>
        <w:rPr>
          <w:rFonts w:hint="eastAsia" w:ascii="方正小标宋简体" w:eastAsia="方正小标宋简体"/>
          <w:color w:val="000000" w:themeColor="text1"/>
          <w:sz w:val="44"/>
          <w:szCs w:val="44"/>
          <w:highlight w:val="none"/>
          <w14:textFill>
            <w14:solidFill>
              <w14:schemeClr w14:val="tx1"/>
            </w14:solidFill>
          </w14:textFill>
        </w:rPr>
        <w:t>鼓楼区国有土地上房屋征收与补偿若干问题</w:t>
      </w:r>
    </w:p>
    <w:p>
      <w:pPr>
        <w:spacing w:line="560" w:lineRule="exact"/>
        <w:jc w:val="center"/>
        <w:rPr>
          <w:rFonts w:hint="eastAsia" w:ascii="方正小标宋简体" w:eastAsia="方正小标宋简体"/>
          <w:color w:val="000000" w:themeColor="text1"/>
          <w:sz w:val="44"/>
          <w:szCs w:val="44"/>
          <w:highlight w:val="none"/>
          <w:lang w:eastAsia="zh-CN"/>
          <w14:textFill>
            <w14:solidFill>
              <w14:schemeClr w14:val="tx1"/>
            </w14:solidFill>
          </w14:textFill>
        </w:rPr>
      </w:pPr>
      <w:r>
        <w:rPr>
          <w:rFonts w:hint="eastAsia" w:ascii="方正小标宋简体" w:eastAsia="方正小标宋简体"/>
          <w:color w:val="000000" w:themeColor="text1"/>
          <w:sz w:val="44"/>
          <w:szCs w:val="44"/>
          <w:highlight w:val="none"/>
          <w14:textFill>
            <w14:solidFill>
              <w14:schemeClr w14:val="tx1"/>
            </w14:solidFill>
          </w14:textFill>
        </w:rPr>
        <w:t>操作实施细则</w:t>
      </w:r>
      <w:r>
        <w:rPr>
          <w:rFonts w:hint="eastAsia" w:ascii="方正小标宋简体" w:eastAsia="方正小标宋简体"/>
          <w:color w:val="000000" w:themeColor="text1"/>
          <w:sz w:val="44"/>
          <w:szCs w:val="44"/>
          <w:highlight w:val="none"/>
          <w:lang w:eastAsia="zh-CN"/>
          <w14:textFill>
            <w14:solidFill>
              <w14:schemeClr w14:val="tx1"/>
            </w14:solidFill>
          </w14:textFill>
        </w:rPr>
        <w:t>（征求意见稿）</w:t>
      </w:r>
    </w:p>
    <w:p>
      <w:pPr>
        <w:spacing w:line="560" w:lineRule="exact"/>
        <w:jc w:val="center"/>
        <w:rPr>
          <w:rFonts w:ascii="仿宋_GB2312" w:hAnsi="方正仿宋_GBK" w:eastAsia="仿宋_GB2312" w:cs="方正仿宋_GBK"/>
          <w:color w:val="000000" w:themeColor="text1"/>
          <w:sz w:val="32"/>
          <w:szCs w:val="32"/>
          <w:highlight w:val="none"/>
          <w14:textFill>
            <w14:solidFill>
              <w14:schemeClr w14:val="tx1"/>
            </w14:solidFill>
          </w14:textFill>
        </w:rPr>
      </w:pPr>
      <w:r>
        <w:rPr>
          <w:rFonts w:hint="eastAsia" w:ascii="仿宋_GB2312" w:hAnsi="方正仿宋_GBK" w:eastAsia="仿宋_GB2312" w:cs="方正仿宋_GBK"/>
          <w:color w:val="000000" w:themeColor="text1"/>
          <w:sz w:val="32"/>
          <w:szCs w:val="32"/>
          <w:highlight w:val="none"/>
          <w14:textFill>
            <w14:solidFill>
              <w14:schemeClr w14:val="tx1"/>
            </w14:solidFill>
          </w14:textFill>
        </w:rPr>
        <w:t>鼓政规〔2025〕</w:t>
      </w:r>
      <w:r>
        <w:rPr>
          <w:rFonts w:hint="eastAsia" w:ascii="仿宋_GB2312" w:hAnsi="方正仿宋_GBK" w:eastAsia="仿宋_GB2312" w:cs="方正仿宋_GBK"/>
          <w:color w:val="000000" w:themeColor="text1"/>
          <w:sz w:val="32"/>
          <w:szCs w:val="32"/>
          <w:highlight w:val="none"/>
          <w:lang w:val="en-US" w:eastAsia="zh-CN"/>
          <w14:textFill>
            <w14:solidFill>
              <w14:schemeClr w14:val="tx1"/>
            </w14:solidFill>
          </w14:textFill>
        </w:rPr>
        <w:t>Ｘ</w:t>
      </w:r>
      <w:bookmarkStart w:id="0" w:name="_GoBack"/>
      <w:bookmarkEnd w:id="0"/>
      <w:r>
        <w:rPr>
          <w:rFonts w:hint="eastAsia" w:ascii="仿宋_GB2312" w:hAnsi="方正仿宋_GBK" w:eastAsia="仿宋_GB2312" w:cs="方正仿宋_GBK"/>
          <w:color w:val="000000" w:themeColor="text1"/>
          <w:sz w:val="32"/>
          <w:szCs w:val="32"/>
          <w:highlight w:val="none"/>
          <w14:textFill>
            <w14:solidFill>
              <w14:schemeClr w14:val="tx1"/>
            </w14:solidFill>
          </w14:textFill>
        </w:rPr>
        <w:t>号</w:t>
      </w:r>
    </w:p>
    <w:p>
      <w:pPr>
        <w:spacing w:line="560" w:lineRule="exact"/>
        <w:jc w:val="center"/>
        <w:rPr>
          <w:rFonts w:ascii="仿宋_GB2312" w:eastAsia="仿宋_GB2312"/>
          <w:color w:val="000000" w:themeColor="text1"/>
          <w:sz w:val="32"/>
          <w:szCs w:val="32"/>
          <w:highlight w:val="none"/>
          <w14:textFill>
            <w14:solidFill>
              <w14:schemeClr w14:val="tx1"/>
            </w14:solidFill>
          </w14:textFill>
        </w:rPr>
      </w:pP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为进一步规范征收行为，妥善解决现有征收文件未能明确的若干问题，保障被征收人的</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合法</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权益，根据《南京市国有土地上房屋征收与补偿办法》（市政府令第318号）、《南京市国有土地上房屋征收补偿补助奖励规定》（宁建征字﹝2019﹞490号）、《鼓楼区国有土地上房屋征收补偿补助奖励规定》（鼓政规〔2020〕2号）等规定，结合本区实际情况，制定本实施细则。</w:t>
      </w:r>
    </w:p>
    <w:p>
      <w:pPr>
        <w:spacing w:line="560" w:lineRule="exact"/>
        <w:ind w:firstLine="640"/>
        <w:rPr>
          <w:rFonts w:ascii="黑体" w:hAnsi="方正仿宋_GBK" w:eastAsia="黑体" w:cs="方正仿宋_GBK"/>
          <w:color w:val="000000" w:themeColor="text1"/>
          <w:sz w:val="32"/>
          <w:szCs w:val="32"/>
          <w:highlight w:val="none"/>
          <w14:textFill>
            <w14:solidFill>
              <w14:schemeClr w14:val="tx1"/>
            </w14:solidFill>
          </w14:textFill>
        </w:rPr>
      </w:pPr>
      <w:r>
        <w:rPr>
          <w:rFonts w:hint="eastAsia" w:ascii="黑体" w:eastAsia="黑体"/>
          <w:color w:val="000000" w:themeColor="text1"/>
          <w:sz w:val="32"/>
          <w:szCs w:val="32"/>
          <w:highlight w:val="none"/>
          <w14:textFill>
            <w14:solidFill>
              <w14:schemeClr w14:val="tx1"/>
            </w14:solidFill>
          </w14:textFill>
        </w:rPr>
        <w:t>一、关于房屋权证的认定处理</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以房屋产权证或其他合法房产凭证为计算单位，出现以下情况，视为一个权证：</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1、一个权证对应多个门牌的，按一个权证计算。</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2、同一土地使用人持有两个及以上土地使用权证，地籍相邻且只有一个房屋权证或其他合法房产凭证的，按一个权证计算。</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3、继承析产后，未分别领取房屋产权证（不动产登记证）的，按一个权证计算。</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4、离婚析产后，未分别领取房屋产权证（不动产登记证）的，按一个权证计算。</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5、房屋共有产权的，按一个权证计算。</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6、因房改时将两套房屋合并发证的，按一个权证计算。</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房屋产权证与土地使用证记载姓名不一致的，以房屋产权人为补偿对象。存在地大于房的，地大于房部分原则上补偿给产权人，有约定的从其约定；土地使用人已故的，法定继承人对地大于房部分协商后具结补偿。</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只有土地使用证，无房屋产权证或其他合法房产凭证的，若房屋面积小于土地证载面积，按房屋现状确认；若房屋面积大于土地证载面积，按土地证载面积确认。对于房屋产权证以外的其他房产凭证，须经发证机关核实后报区政府专题会议研究确认。</w:t>
      </w:r>
    </w:p>
    <w:p>
      <w:pPr>
        <w:spacing w:line="560" w:lineRule="exact"/>
        <w:ind w:firstLine="640"/>
        <w:rPr>
          <w:rFonts w:ascii="黑体" w:hAnsi="方正仿宋_GBK" w:eastAsia="黑体" w:cs="方正仿宋_GBK"/>
          <w:color w:val="000000" w:themeColor="text1"/>
          <w:sz w:val="32"/>
          <w:szCs w:val="32"/>
          <w:highlight w:val="none"/>
          <w14:textFill>
            <w14:solidFill>
              <w14:schemeClr w14:val="tx1"/>
            </w14:solidFill>
          </w14:textFill>
        </w:rPr>
      </w:pPr>
      <w:r>
        <w:rPr>
          <w:rFonts w:hint="eastAsia" w:ascii="黑体" w:eastAsia="黑体"/>
          <w:color w:val="000000" w:themeColor="text1"/>
          <w:sz w:val="32"/>
          <w:szCs w:val="32"/>
          <w:highlight w:val="none"/>
          <w14:textFill>
            <w14:solidFill>
              <w14:schemeClr w14:val="tx1"/>
            </w14:solidFill>
          </w14:textFill>
        </w:rPr>
        <w:t>二、关于离婚分割的认定处理</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征收范围公告发布之日前离婚，已对房产面积分割，但未办理产权变更的，仍按一个权证签订征收补偿协议，以离婚协议或法院判决书确定的房产面积具结补偿。赠与子女的房产面积不予认可，需协议双方重新分割并书面声明后方可签约。</w:t>
      </w:r>
    </w:p>
    <w:p>
      <w:pPr>
        <w:spacing w:line="560" w:lineRule="exact"/>
        <w:ind w:firstLine="640"/>
        <w:rPr>
          <w:rFonts w:ascii="黑体" w:hAnsi="方正仿宋_GBK" w:eastAsia="黑体" w:cs="方正仿宋_GBK"/>
          <w:color w:val="000000" w:themeColor="text1"/>
          <w:sz w:val="32"/>
          <w:szCs w:val="32"/>
          <w:highlight w:val="none"/>
          <w14:textFill>
            <w14:solidFill>
              <w14:schemeClr w14:val="tx1"/>
            </w14:solidFill>
          </w14:textFill>
        </w:rPr>
      </w:pPr>
      <w:r>
        <w:rPr>
          <w:rFonts w:hint="eastAsia" w:ascii="黑体" w:eastAsia="黑体"/>
          <w:color w:val="000000" w:themeColor="text1"/>
          <w:sz w:val="32"/>
          <w:szCs w:val="32"/>
          <w:highlight w:val="none"/>
          <w14:textFill>
            <w14:solidFill>
              <w14:schemeClr w14:val="tx1"/>
            </w14:solidFill>
          </w14:textFill>
        </w:rPr>
        <w:t>三、关于直管公房（</w:t>
      </w:r>
      <w:r>
        <w:rPr>
          <w:rFonts w:hint="eastAsia" w:ascii="黑体" w:eastAsia="黑体"/>
          <w:color w:val="000000" w:themeColor="text1"/>
          <w:sz w:val="32"/>
          <w:szCs w:val="32"/>
          <w:highlight w:val="none"/>
          <w:lang w:val="en-US" w:eastAsia="zh-CN"/>
          <w14:textFill>
            <w14:solidFill>
              <w14:schemeClr w14:val="tx1"/>
            </w14:solidFill>
          </w14:textFill>
        </w:rPr>
        <w:t>含</w:t>
      </w:r>
      <w:r>
        <w:rPr>
          <w:rFonts w:hint="eastAsia" w:ascii="黑体" w:eastAsia="黑体"/>
          <w:color w:val="000000" w:themeColor="text1"/>
          <w:sz w:val="32"/>
          <w:szCs w:val="32"/>
          <w:highlight w:val="none"/>
          <w14:textFill>
            <w14:solidFill>
              <w14:schemeClr w14:val="tx1"/>
            </w14:solidFill>
          </w14:textFill>
        </w:rPr>
        <w:t>自管</w:t>
      </w:r>
      <w:r>
        <w:rPr>
          <w:rFonts w:hint="eastAsia" w:ascii="黑体" w:eastAsia="黑体"/>
          <w:color w:val="000000" w:themeColor="text1"/>
          <w:sz w:val="32"/>
          <w:szCs w:val="32"/>
          <w:highlight w:val="none"/>
          <w:lang w:val="en-US" w:eastAsia="zh-CN"/>
          <w14:textFill>
            <w14:solidFill>
              <w14:schemeClr w14:val="tx1"/>
            </w14:solidFill>
          </w14:textFill>
        </w:rPr>
        <w:t>公房</w:t>
      </w:r>
      <w:r>
        <w:rPr>
          <w:rFonts w:hint="eastAsia" w:ascii="黑体" w:eastAsia="黑体"/>
          <w:color w:val="000000" w:themeColor="text1"/>
          <w:sz w:val="32"/>
          <w:szCs w:val="32"/>
          <w:highlight w:val="none"/>
          <w14:textFill>
            <w14:solidFill>
              <w14:schemeClr w14:val="tx1"/>
            </w14:solidFill>
          </w14:textFill>
        </w:rPr>
        <w:t>）变更承租人及分户建筑面积的认定处理</w:t>
      </w:r>
    </w:p>
    <w:p>
      <w:pPr>
        <w:spacing w:line="560" w:lineRule="exact"/>
        <w:ind w:firstLine="640"/>
        <w:rPr>
          <w:rFonts w:ascii="楷体_GB2312" w:hAnsi="方正仿宋_GBK" w:eastAsia="楷体_GB2312" w:cs="方正仿宋_GBK"/>
          <w:color w:val="000000" w:themeColor="text1"/>
          <w:sz w:val="32"/>
          <w:szCs w:val="32"/>
          <w:highlight w:val="none"/>
          <w14:textFill>
            <w14:solidFill>
              <w14:schemeClr w14:val="tx1"/>
            </w14:solidFill>
          </w14:textFill>
        </w:rPr>
      </w:pPr>
      <w:r>
        <w:rPr>
          <w:rFonts w:hint="eastAsia" w:ascii="楷体_GB2312" w:eastAsia="楷体_GB2312"/>
          <w:color w:val="000000" w:themeColor="text1"/>
          <w:sz w:val="32"/>
          <w:szCs w:val="32"/>
          <w:highlight w:val="none"/>
          <w14:textFill>
            <w14:solidFill>
              <w14:schemeClr w14:val="tx1"/>
            </w14:solidFill>
          </w14:textFill>
        </w:rPr>
        <w:t>（一）承租人变更确认</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原承租人死亡，符合公房更名规定的，由公房产权单位按相关规定办理承租人户名变更。</w:t>
      </w:r>
    </w:p>
    <w:p>
      <w:pPr>
        <w:spacing w:line="560" w:lineRule="exact"/>
        <w:ind w:firstLine="640"/>
        <w:rPr>
          <w:rFonts w:ascii="楷体_GB2312" w:hAnsi="方正仿宋_GBK" w:eastAsia="楷体_GB2312" w:cs="方正仿宋_GBK"/>
          <w:color w:val="000000" w:themeColor="text1"/>
          <w:sz w:val="32"/>
          <w:szCs w:val="32"/>
          <w:highlight w:val="none"/>
          <w14:textFill>
            <w14:solidFill>
              <w14:schemeClr w14:val="tx1"/>
            </w14:solidFill>
          </w14:textFill>
        </w:rPr>
      </w:pPr>
      <w:r>
        <w:rPr>
          <w:rFonts w:hint="eastAsia" w:ascii="楷体_GB2312" w:eastAsia="楷体_GB2312"/>
          <w:color w:val="000000" w:themeColor="text1"/>
          <w:sz w:val="32"/>
          <w:szCs w:val="32"/>
          <w:highlight w:val="none"/>
          <w14:textFill>
            <w14:solidFill>
              <w14:schemeClr w14:val="tx1"/>
            </w14:solidFill>
          </w14:textFill>
        </w:rPr>
        <w:t>（二）分户建筑面积确认</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1、公房产权单位依据房屋权证登记面积，结合实际公房分配情况，填写《公房分户情况汇总表》，经征收实施单位复核同意后，由产权单位、征收实施单位共同盖章确认。</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2、房屋分户建筑面积原则上以产权单位持有权证的证载面积进行测算；因历史原因公房分配单位未办理权证或将非住宅用作住宅分配的，需提交区政府专题会议研究；对于分户建筑面积产权单位无法确认的，可参照测绘机构实测数据，在总权证登记面积或区政府专题会议确认的补偿面积范围内进行分配确认。</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3、产权单位因改制或其它原因不配合确认的，报区政府专题会议研究确认。</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4、单位集体承租的直管公房，由集体承租单位确认承租人，或由集体承租单位自行组织腾迁。</w:t>
      </w:r>
    </w:p>
    <w:p>
      <w:pPr>
        <w:spacing w:line="560" w:lineRule="exact"/>
        <w:ind w:firstLine="640"/>
        <w:rPr>
          <w:rFonts w:ascii="黑体" w:hAnsi="方正仿宋_GBK" w:eastAsia="黑体" w:cs="方正仿宋_GBK"/>
          <w:color w:val="000000" w:themeColor="text1"/>
          <w:sz w:val="32"/>
          <w:szCs w:val="32"/>
          <w:highlight w:val="none"/>
          <w14:textFill>
            <w14:solidFill>
              <w14:schemeClr w14:val="tx1"/>
            </w14:solidFill>
          </w14:textFill>
        </w:rPr>
      </w:pPr>
      <w:r>
        <w:rPr>
          <w:rFonts w:hint="eastAsia" w:ascii="黑体" w:eastAsia="黑体"/>
          <w:color w:val="000000" w:themeColor="text1"/>
          <w:sz w:val="32"/>
          <w:szCs w:val="32"/>
          <w:highlight w:val="none"/>
          <w14:textFill>
            <w14:solidFill>
              <w14:schemeClr w14:val="tx1"/>
            </w14:solidFill>
          </w14:textFill>
        </w:rPr>
        <w:t>四、关于落政房的认定处理</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1、落政房的产权人及建筑面积的确认：有产权证的以产权证登记为准，尚未办理产权证的以退还单记载的面积为准；落政房产权人死亡的需要办理继承公证；原承租人分户建筑面积的换算以区房产经营公司的记载面积为准。</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2、征收因国家有关私房改造政策而形成租赁关系的私有出租房屋补偿分配：原承租人改变房屋用途而增加的货币补偿部分，租赁双方未约定分配比例的，原承租人与产权人各得50%。</w:t>
      </w:r>
    </w:p>
    <w:p>
      <w:pPr>
        <w:spacing w:line="560" w:lineRule="exact"/>
        <w:ind w:firstLine="640"/>
        <w:rPr>
          <w:rFonts w:ascii="黑体" w:hAnsi="方正仿宋_GBK" w:eastAsia="黑体" w:cs="方正仿宋_GBK"/>
          <w:color w:val="000000" w:themeColor="text1"/>
          <w:sz w:val="32"/>
          <w:szCs w:val="32"/>
          <w:highlight w:val="none"/>
          <w14:textFill>
            <w14:solidFill>
              <w14:schemeClr w14:val="tx1"/>
            </w14:solidFill>
          </w14:textFill>
        </w:rPr>
      </w:pPr>
      <w:r>
        <w:rPr>
          <w:rFonts w:hint="eastAsia" w:ascii="黑体" w:eastAsia="黑体"/>
          <w:color w:val="000000" w:themeColor="text1"/>
          <w:sz w:val="32"/>
          <w:szCs w:val="32"/>
          <w:highlight w:val="none"/>
          <w14:textFill>
            <w14:solidFill>
              <w14:schemeClr w14:val="tx1"/>
            </w14:solidFill>
          </w14:textFill>
        </w:rPr>
        <w:t>五、关于重大疾病</w:t>
      </w:r>
      <w:r>
        <w:rPr>
          <w:rFonts w:hint="eastAsia" w:ascii="黑体" w:eastAsia="黑体"/>
          <w:color w:val="000000" w:themeColor="text1"/>
          <w:sz w:val="32"/>
          <w:szCs w:val="32"/>
          <w:highlight w:val="none"/>
          <w:lang w:eastAsia="zh-CN"/>
          <w14:textFill>
            <w14:solidFill>
              <w14:schemeClr w14:val="tx1"/>
            </w14:solidFill>
          </w14:textFill>
        </w:rPr>
        <w:t>、</w:t>
      </w:r>
      <w:r>
        <w:rPr>
          <w:rFonts w:hint="eastAsia" w:ascii="黑体" w:eastAsia="黑体"/>
          <w:color w:val="000000" w:themeColor="text1"/>
          <w:sz w:val="32"/>
          <w:szCs w:val="32"/>
          <w:highlight w:val="none"/>
          <w14:textFill>
            <w14:solidFill>
              <w14:schemeClr w14:val="tx1"/>
            </w14:solidFill>
          </w14:textFill>
        </w:rPr>
        <w:t>残疾</w:t>
      </w:r>
      <w:r>
        <w:rPr>
          <w:rFonts w:hint="eastAsia" w:ascii="黑体" w:eastAsia="黑体"/>
          <w:color w:val="000000" w:themeColor="text1"/>
          <w:sz w:val="32"/>
          <w:szCs w:val="32"/>
          <w:highlight w:val="none"/>
          <w:lang w:val="en-US" w:eastAsia="zh-CN"/>
          <w14:textFill>
            <w14:solidFill>
              <w14:schemeClr w14:val="tx1"/>
            </w14:solidFill>
          </w14:textFill>
        </w:rPr>
        <w:t>和困难家庭</w:t>
      </w:r>
      <w:r>
        <w:rPr>
          <w:rFonts w:hint="eastAsia" w:ascii="黑体" w:eastAsia="黑体"/>
          <w:color w:val="000000" w:themeColor="text1"/>
          <w:sz w:val="32"/>
          <w:szCs w:val="32"/>
          <w:highlight w:val="none"/>
          <w14:textFill>
            <w14:solidFill>
              <w14:schemeClr w14:val="tx1"/>
            </w14:solidFill>
          </w14:textFill>
        </w:rPr>
        <w:t>的认定处理</w:t>
      </w:r>
    </w:p>
    <w:p>
      <w:pPr>
        <w:spacing w:line="560" w:lineRule="exact"/>
        <w:ind w:firstLine="640"/>
        <w:rPr>
          <w:rFonts w:ascii="楷体_GB2312" w:eastAsia="楷体_GB2312"/>
          <w:color w:val="000000" w:themeColor="text1"/>
          <w:sz w:val="32"/>
          <w:szCs w:val="32"/>
          <w:highlight w:val="none"/>
          <w14:textFill>
            <w14:solidFill>
              <w14:schemeClr w14:val="tx1"/>
            </w14:solidFill>
          </w14:textFill>
        </w:rPr>
      </w:pPr>
      <w:r>
        <w:rPr>
          <w:rFonts w:hint="eastAsia" w:ascii="楷体_GB2312" w:eastAsia="楷体_GB2312"/>
          <w:color w:val="000000" w:themeColor="text1"/>
          <w:sz w:val="32"/>
          <w:szCs w:val="32"/>
          <w:highlight w:val="none"/>
          <w14:textFill>
            <w14:solidFill>
              <w14:schemeClr w14:val="tx1"/>
            </w14:solidFill>
          </w14:textFill>
        </w:rPr>
        <w:t>（一）补助范围</w:t>
      </w:r>
    </w:p>
    <w:p>
      <w:pPr>
        <w:spacing w:line="560" w:lineRule="exact"/>
        <w:ind w:firstLine="640"/>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重大疾病包含植物人、恶性肿瘤、器官移植、尿毒症、心脏开胸手术及开颅手术；残疾包含肢体、精神、智力和视力残疾等（不包含劳动能力伤残鉴定）。</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困难家庭包含低保户、低保边缘户和高龄老人。</w:t>
      </w:r>
    </w:p>
    <w:p>
      <w:pPr>
        <w:spacing w:line="560" w:lineRule="exact"/>
        <w:ind w:firstLine="640"/>
        <w:rPr>
          <w:rFonts w:ascii="楷体_GB2312" w:eastAsia="楷体_GB2312"/>
          <w:color w:val="000000" w:themeColor="text1"/>
          <w:sz w:val="32"/>
          <w:szCs w:val="32"/>
          <w:highlight w:val="none"/>
          <w14:textFill>
            <w14:solidFill>
              <w14:schemeClr w14:val="tx1"/>
            </w14:solidFill>
          </w14:textFill>
        </w:rPr>
      </w:pPr>
      <w:r>
        <w:rPr>
          <w:rFonts w:hint="eastAsia" w:ascii="楷体_GB2312" w:eastAsia="楷体_GB2312"/>
          <w:color w:val="000000" w:themeColor="text1"/>
          <w:sz w:val="32"/>
          <w:szCs w:val="32"/>
          <w:highlight w:val="none"/>
          <w14:textFill>
            <w14:solidFill>
              <w14:schemeClr w14:val="tx1"/>
            </w14:solidFill>
          </w14:textFill>
        </w:rPr>
        <w:t>（二）一人患有多种重大疾病多种残疾的补助</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同种类型补助不累加计算，但重大疾病</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残疾</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低保和高龄</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可分别给予补助，按单项补助最高标准执行。</w:t>
      </w:r>
    </w:p>
    <w:p>
      <w:pPr>
        <w:spacing w:line="560" w:lineRule="exact"/>
        <w:ind w:firstLine="640"/>
        <w:rPr>
          <w:rFonts w:ascii="楷体_GB2312" w:eastAsia="楷体_GB2312"/>
          <w:color w:val="000000" w:themeColor="text1"/>
          <w:sz w:val="32"/>
          <w:szCs w:val="32"/>
          <w:highlight w:val="none"/>
          <w14:textFill>
            <w14:solidFill>
              <w14:schemeClr w14:val="tx1"/>
            </w14:solidFill>
          </w14:textFill>
        </w:rPr>
      </w:pPr>
      <w:r>
        <w:rPr>
          <w:rFonts w:hint="eastAsia" w:ascii="楷体_GB2312" w:eastAsia="楷体_GB2312"/>
          <w:color w:val="000000" w:themeColor="text1"/>
          <w:sz w:val="32"/>
          <w:szCs w:val="32"/>
          <w:highlight w:val="none"/>
          <w14:textFill>
            <w14:solidFill>
              <w14:schemeClr w14:val="tx1"/>
            </w14:solidFill>
          </w14:textFill>
        </w:rPr>
        <w:t>（三）补助对象需提供的相关证明材料</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1、低保户、低保边缘户必须为现期在册。</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2、高龄必须提供本人身份证原件。</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3、重大疾病必须提供三甲医院诊断证明原件。</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4、残疾必须提供民政部门或部队核发的残疾证原件。</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5、其他相关审批证明。</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上述证明材料，经征收实施单位核实后造表签字备案存档，补助费用随补偿协议发放。</w:t>
      </w:r>
    </w:p>
    <w:p>
      <w:pPr>
        <w:spacing w:line="560" w:lineRule="exact"/>
        <w:ind w:firstLine="640"/>
        <w:rPr>
          <w:rFonts w:ascii="黑体" w:hAnsi="方正仿宋_GBK" w:eastAsia="黑体" w:cs="方正仿宋_GBK"/>
          <w:color w:val="000000" w:themeColor="text1"/>
          <w:sz w:val="32"/>
          <w:szCs w:val="32"/>
          <w:highlight w:val="none"/>
          <w14:textFill>
            <w14:solidFill>
              <w14:schemeClr w14:val="tx1"/>
            </w14:solidFill>
          </w14:textFill>
        </w:rPr>
      </w:pPr>
      <w:r>
        <w:rPr>
          <w:rFonts w:hint="eastAsia" w:ascii="黑体" w:eastAsia="黑体"/>
          <w:color w:val="000000" w:themeColor="text1"/>
          <w:sz w:val="32"/>
          <w:szCs w:val="32"/>
          <w:highlight w:val="none"/>
          <w14:textFill>
            <w14:solidFill>
              <w14:schemeClr w14:val="tx1"/>
            </w14:solidFill>
          </w14:textFill>
        </w:rPr>
        <w:t>六、关于公证费用的认定处理</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为最大限度体现政策惠民，对于征收范围内房产需办理继承析产</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不包含推举</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公证的，若被征收人在全额计奖期内签约搬迁，相关继承析产的公证费用由征收实施单位给予补助，列入项目支出并计入征收成本。</w:t>
      </w:r>
    </w:p>
    <w:p>
      <w:pPr>
        <w:spacing w:line="560" w:lineRule="exact"/>
        <w:ind w:firstLine="640"/>
        <w:rPr>
          <w:rFonts w:ascii="黑体" w:hAnsi="方正仿宋_GBK" w:eastAsia="黑体" w:cs="方正仿宋_GBK"/>
          <w:color w:val="000000" w:themeColor="text1"/>
          <w:sz w:val="32"/>
          <w:szCs w:val="32"/>
          <w:highlight w:val="none"/>
          <w14:textFill>
            <w14:solidFill>
              <w14:schemeClr w14:val="tx1"/>
            </w14:solidFill>
          </w14:textFill>
        </w:rPr>
      </w:pPr>
      <w:r>
        <w:rPr>
          <w:rFonts w:hint="eastAsia" w:ascii="黑体" w:eastAsia="黑体"/>
          <w:color w:val="000000" w:themeColor="text1"/>
          <w:sz w:val="32"/>
          <w:szCs w:val="32"/>
          <w:highlight w:val="none"/>
          <w14:textFill>
            <w14:solidFill>
              <w14:schemeClr w14:val="tx1"/>
            </w14:solidFill>
          </w14:textFill>
        </w:rPr>
        <w:t>七、关于住宅房屋改变用途的认定处理</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1、对被征收住宅房屋改变用途的补偿，按《鼓楼区国有土地上房屋征收补偿补助奖励规定》第二项“关于住宅房屋改变用途的征收补偿”相关规定执行。</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2、直管公房（含自管公房）改变为经营性用房的，参照私有住宅房屋改变用途的征收补偿规定进行补偿。</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3、实际经营人与房屋产权人（公房承租人）不相符时，被征收人应提供被征收房屋内营业执照和租赁协议原件进行核查，原则上仍以房屋产权人（公房承租人）为对象结算相关补偿。</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4、住宅房屋改变用途为经营用房的，其实际用于营业面积须由项目核查组（由项目综合组长、属地街道社区、城管执法人员共同组成）现场勘察、测量并在核查表上签字确认，经征收实施单位研究形成认定意见报区政府专题会议研究确定。</w:t>
      </w:r>
    </w:p>
    <w:p>
      <w:pPr>
        <w:spacing w:line="560" w:lineRule="exact"/>
        <w:ind w:firstLine="640"/>
        <w:rPr>
          <w:rFonts w:ascii="黑体" w:hAnsi="方正仿宋_GBK" w:eastAsia="黑体" w:cs="方正仿宋_GBK"/>
          <w:color w:val="000000" w:themeColor="text1"/>
          <w:sz w:val="32"/>
          <w:szCs w:val="32"/>
          <w:highlight w:val="none"/>
          <w14:textFill>
            <w14:solidFill>
              <w14:schemeClr w14:val="tx1"/>
            </w14:solidFill>
          </w14:textFill>
        </w:rPr>
      </w:pPr>
      <w:r>
        <w:rPr>
          <w:rFonts w:hint="eastAsia" w:ascii="黑体" w:eastAsia="黑体"/>
          <w:color w:val="000000" w:themeColor="text1"/>
          <w:sz w:val="32"/>
          <w:szCs w:val="32"/>
          <w:highlight w:val="none"/>
          <w14:textFill>
            <w14:solidFill>
              <w14:schemeClr w14:val="tx1"/>
            </w14:solidFill>
          </w14:textFill>
        </w:rPr>
        <w:t>八、关于装饰装修、自建房（构筑物）的认定处理</w:t>
      </w:r>
    </w:p>
    <w:p>
      <w:pPr>
        <w:spacing w:line="560" w:lineRule="exact"/>
        <w:ind w:firstLine="640"/>
        <w:rPr>
          <w:rFonts w:ascii="楷体_GB2312" w:hAnsi="方正仿宋_GBK" w:eastAsia="楷体_GB2312" w:cs="方正仿宋_GBK"/>
          <w:color w:val="000000" w:themeColor="text1"/>
          <w:sz w:val="32"/>
          <w:szCs w:val="32"/>
          <w:highlight w:val="none"/>
          <w14:textFill>
            <w14:solidFill>
              <w14:schemeClr w14:val="tx1"/>
            </w14:solidFill>
          </w14:textFill>
        </w:rPr>
      </w:pPr>
      <w:r>
        <w:rPr>
          <w:rFonts w:hint="eastAsia" w:ascii="楷体_GB2312" w:eastAsia="楷体_GB2312"/>
          <w:color w:val="000000" w:themeColor="text1"/>
          <w:sz w:val="32"/>
          <w:szCs w:val="32"/>
          <w:highlight w:val="none"/>
          <w14:textFill>
            <w14:solidFill>
              <w14:schemeClr w14:val="tx1"/>
            </w14:solidFill>
          </w14:textFill>
        </w:rPr>
        <w:t>（一）装饰装修补偿</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按“评估加协商”的原则办理。评估公司据实出具评估报告，征收实施单位以此为依据与被征收人进行协商，在计奖期内完成搬迁交房的，可协商的修正幅度原则上不超过300元/平方米。</w:t>
      </w:r>
    </w:p>
    <w:p>
      <w:pPr>
        <w:spacing w:line="560" w:lineRule="exact"/>
        <w:ind w:firstLine="640"/>
        <w:rPr>
          <w:rFonts w:ascii="楷体_GB2312" w:hAnsi="方正仿宋_GBK" w:eastAsia="楷体_GB2312" w:cs="方正仿宋_GBK"/>
          <w:color w:val="000000" w:themeColor="text1"/>
          <w:sz w:val="32"/>
          <w:szCs w:val="32"/>
          <w:highlight w:val="none"/>
          <w14:textFill>
            <w14:solidFill>
              <w14:schemeClr w14:val="tx1"/>
            </w14:solidFill>
          </w14:textFill>
        </w:rPr>
      </w:pPr>
      <w:r>
        <w:rPr>
          <w:rFonts w:hint="eastAsia" w:ascii="楷体_GB2312" w:eastAsia="楷体_GB2312"/>
          <w:color w:val="000000" w:themeColor="text1"/>
          <w:sz w:val="32"/>
          <w:szCs w:val="32"/>
          <w:highlight w:val="none"/>
          <w14:textFill>
            <w14:solidFill>
              <w14:schemeClr w14:val="tx1"/>
            </w14:solidFill>
          </w14:textFill>
        </w:rPr>
        <w:t>（二）自建房（构筑物）补助</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自建房（构筑物）结构和面积由征收小组统计上报，项目核查组现场勘察、复核、签字后报补偿协议审核部门备案，征收小组根据复核确认后的结构和面积结合成新计算补助费用，在征收补偿协议构筑物中列支。</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1、在计奖期内完成搬迁交房的，其自建房按下列标准并结合成新（原则上不超过85折）给予补助，逾期不予补助。</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砖混结构按1000元/平方米结合成新补助；</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砖木结构按700元/平方米结合成新补助；</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简易结构按300元/平方米结合成新补助。</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2、不在房屋产权证（不动产登记证）上登记的外楼梯、外阳台按投影建筑面积，给予建安造价补助，标准参照自建房。</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3、房屋产权证（不动产登记证）或租赁合约（公房计租）上未登记但搭建正规的阁楼，按500元/平方米结合成新（原则上不超过85折）给予补助；权证登记的阁楼，对其净高度在1.4米（含）以上、不超过2.2米的部分，按实测使用面积的50％计算建筑面积；对净高度在2.2米（含）以上部分按实测使用面积的70％计算建筑面积。</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4、征收范围内仅有自建房的住户，在计奖期内完成搬迁交房的，可参照上述补助标准执行。</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5、拆除自建房时需办理设备拆移的，可按相关文件规定标准支付设备拆移补助费。</w:t>
      </w:r>
    </w:p>
    <w:p>
      <w:pPr>
        <w:spacing w:line="560" w:lineRule="exact"/>
        <w:ind w:firstLine="640"/>
        <w:rPr>
          <w:rFonts w:ascii="黑体" w:hAnsi="方正仿宋_GBK" w:eastAsia="黑体" w:cs="方正仿宋_GBK"/>
          <w:color w:val="000000" w:themeColor="text1"/>
          <w:sz w:val="32"/>
          <w:szCs w:val="32"/>
          <w:highlight w:val="none"/>
          <w14:textFill>
            <w14:solidFill>
              <w14:schemeClr w14:val="tx1"/>
            </w14:solidFill>
          </w14:textFill>
        </w:rPr>
      </w:pPr>
      <w:r>
        <w:rPr>
          <w:rFonts w:hint="eastAsia" w:ascii="黑体" w:eastAsia="黑体"/>
          <w:color w:val="000000" w:themeColor="text1"/>
          <w:sz w:val="32"/>
          <w:szCs w:val="32"/>
          <w:highlight w:val="none"/>
          <w14:textFill>
            <w14:solidFill>
              <w14:schemeClr w14:val="tx1"/>
            </w14:solidFill>
          </w14:textFill>
        </w:rPr>
        <w:t>九、关于提前搬迁过渡费的认定处理</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为鼓励被征收人提前交房，支持征收工作，对在计奖期前已完成搬</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家</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交房的住宅房屋被征收人，从搬家交房之日的当月至正式计奖期开始之日前一个月，可按月发放提前搬家过渡费。支付标准按《鼓楼区国有土地上房屋征收补偿补助规定》中规定的临时安置</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补助</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费标准执行。</w:t>
      </w:r>
    </w:p>
    <w:p>
      <w:pPr>
        <w:spacing w:line="560" w:lineRule="exact"/>
        <w:ind w:firstLine="640"/>
        <w:rPr>
          <w:rFonts w:ascii="黑体" w:hAnsi="方正仿宋_GBK" w:eastAsia="黑体" w:cs="方正仿宋_GBK"/>
          <w:color w:val="000000" w:themeColor="text1"/>
          <w:sz w:val="32"/>
          <w:szCs w:val="32"/>
          <w:highlight w:val="none"/>
          <w14:textFill>
            <w14:solidFill>
              <w14:schemeClr w14:val="tx1"/>
            </w14:solidFill>
          </w14:textFill>
        </w:rPr>
      </w:pPr>
      <w:r>
        <w:rPr>
          <w:rFonts w:hint="eastAsia" w:ascii="黑体" w:eastAsia="黑体"/>
          <w:color w:val="000000" w:themeColor="text1"/>
          <w:sz w:val="32"/>
          <w:szCs w:val="32"/>
          <w:highlight w:val="none"/>
          <w14:textFill>
            <w14:solidFill>
              <w14:schemeClr w14:val="tx1"/>
            </w14:solidFill>
          </w14:textFill>
        </w:rPr>
        <w:t>十、关于信鸽饲养的认定处理</w:t>
      </w:r>
    </w:p>
    <w:p>
      <w:pPr>
        <w:spacing w:line="560" w:lineRule="exact"/>
        <w:ind w:firstLine="640"/>
        <w:rPr>
          <w:rFonts w:ascii="仿宋_GB2312" w:hAnsi="方正仿宋_GBK" w:eastAsia="仿宋_GB2312"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经信鸽协会批准，建有标准鸽舍的被征收人，在计奖期内搬迁交房的，可根据其鸽舍大小和驯养规模，给予原则上不超过3万元的信鸽饲养补助，具体按区政府专题会议意见办理。</w:t>
      </w:r>
    </w:p>
    <w:p>
      <w:pPr>
        <w:spacing w:line="560" w:lineRule="exact"/>
        <w:ind w:firstLine="640"/>
        <w:rPr>
          <w:rFonts w:ascii="黑体" w:hAnsi="方正仿宋_GBK" w:eastAsia="黑体" w:cs="方正仿宋_GBK"/>
          <w:color w:val="000000" w:themeColor="text1"/>
          <w:sz w:val="32"/>
          <w:szCs w:val="32"/>
          <w:highlight w:val="none"/>
          <w14:textFill>
            <w14:solidFill>
              <w14:schemeClr w14:val="tx1"/>
            </w14:solidFill>
          </w14:textFill>
        </w:rPr>
      </w:pPr>
      <w:r>
        <w:rPr>
          <w:rFonts w:hint="eastAsia" w:ascii="黑体" w:eastAsia="黑体"/>
          <w:color w:val="000000" w:themeColor="text1"/>
          <w:sz w:val="32"/>
          <w:szCs w:val="32"/>
          <w:highlight w:val="none"/>
          <w14:textFill>
            <w14:solidFill>
              <w14:schemeClr w14:val="tx1"/>
            </w14:solidFill>
          </w14:textFill>
        </w:rPr>
        <w:t>十一、附则</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1、本实施细则适用于全区国有土地上房屋征收项目。</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2、本实施细则未涵盖的特殊事项，经征收实施单位研究认为具有合理性的，可上报区政府专题会议研究确定。</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3、本实施细则由鼓楼区人民政府负责解释，具体解释工作由鼓楼区住房保障和房产局承担。</w:t>
      </w:r>
    </w:p>
    <w:p>
      <w:pPr>
        <w:spacing w:line="560" w:lineRule="exact"/>
        <w:ind w:firstLine="640"/>
        <w:rPr>
          <w:rFonts w:hint="eastAsia" w:ascii="黑体" w:hAnsi="方正仿宋_GBK" w:eastAsia="黑体" w:cs="方正仿宋_GBK"/>
          <w:color w:val="000000" w:themeColor="text1"/>
          <w:sz w:val="32"/>
          <w:szCs w:val="32"/>
          <w:highlight w:val="none"/>
          <w:lang w:eastAsia="zh-CN"/>
          <w14:textFill>
            <w14:solidFill>
              <w14:schemeClr w14:val="tx1"/>
            </w14:solidFill>
          </w14:textFill>
        </w:rPr>
      </w:pPr>
      <w:r>
        <w:rPr>
          <w:rFonts w:hint="eastAsia" w:ascii="黑体" w:hAnsi="方正仿宋_GBK" w:eastAsia="黑体" w:cs="方正仿宋_GBK"/>
          <w:color w:val="000000" w:themeColor="text1"/>
          <w:sz w:val="32"/>
          <w:szCs w:val="32"/>
          <w:highlight w:val="none"/>
          <w14:textFill>
            <w14:solidFill>
              <w14:schemeClr w14:val="tx1"/>
            </w14:solidFill>
          </w14:textFill>
        </w:rPr>
        <w:t>十二、有效期</w:t>
      </w:r>
      <w:r>
        <w:rPr>
          <w:rFonts w:hint="eastAsia" w:ascii="黑体" w:hAnsi="方正仿宋_GBK" w:eastAsia="黑体" w:cs="方正仿宋_GBK"/>
          <w:color w:val="000000" w:themeColor="text1"/>
          <w:sz w:val="32"/>
          <w:szCs w:val="32"/>
          <w:highlight w:val="none"/>
          <w:lang w:eastAsia="zh-CN"/>
          <w14:textFill>
            <w14:solidFill>
              <w14:schemeClr w14:val="tx1"/>
            </w14:solidFill>
          </w14:textFill>
        </w:rPr>
        <w:t>限</w:t>
      </w:r>
    </w:p>
    <w:p>
      <w:pPr>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本实施细则自2026年1月1日起施行，有效期至2030年12月31日。本实施细则在有效期内，如遇国家和省、市相关规定调整，按调整后的上级规定执行。</w:t>
      </w:r>
    </w:p>
    <w:sectPr>
      <w:footerReference r:id="rId3" w:type="default"/>
      <w:pgSz w:w="11906" w:h="16838"/>
      <w:pgMar w:top="1701" w:right="1531" w:bottom="1871" w:left="1531"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t>- 2 -</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- 2 -</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1127C1"/>
    <w:rsid w:val="00021398"/>
    <w:rsid w:val="0007709E"/>
    <w:rsid w:val="001052E7"/>
    <w:rsid w:val="00110203"/>
    <w:rsid w:val="001A0215"/>
    <w:rsid w:val="001D25CE"/>
    <w:rsid w:val="001D402D"/>
    <w:rsid w:val="002028E1"/>
    <w:rsid w:val="00243319"/>
    <w:rsid w:val="002550B0"/>
    <w:rsid w:val="002A2EDC"/>
    <w:rsid w:val="00306B46"/>
    <w:rsid w:val="003105C7"/>
    <w:rsid w:val="00334321"/>
    <w:rsid w:val="00367C80"/>
    <w:rsid w:val="003849C4"/>
    <w:rsid w:val="003C7436"/>
    <w:rsid w:val="003D5DA2"/>
    <w:rsid w:val="00454D13"/>
    <w:rsid w:val="004572CF"/>
    <w:rsid w:val="00463EAC"/>
    <w:rsid w:val="00467AB5"/>
    <w:rsid w:val="00497BA4"/>
    <w:rsid w:val="004C27FF"/>
    <w:rsid w:val="004E600F"/>
    <w:rsid w:val="005B03A9"/>
    <w:rsid w:val="005B514A"/>
    <w:rsid w:val="005F329B"/>
    <w:rsid w:val="005F3E6E"/>
    <w:rsid w:val="00611B56"/>
    <w:rsid w:val="00663328"/>
    <w:rsid w:val="00682420"/>
    <w:rsid w:val="00712EB4"/>
    <w:rsid w:val="00721083"/>
    <w:rsid w:val="0073292E"/>
    <w:rsid w:val="008458B2"/>
    <w:rsid w:val="008E663B"/>
    <w:rsid w:val="009225AB"/>
    <w:rsid w:val="009962DE"/>
    <w:rsid w:val="009F1BDD"/>
    <w:rsid w:val="00A14F3E"/>
    <w:rsid w:val="00A40509"/>
    <w:rsid w:val="00A44A80"/>
    <w:rsid w:val="00A50512"/>
    <w:rsid w:val="00A84F5E"/>
    <w:rsid w:val="00A875C9"/>
    <w:rsid w:val="00AC4F08"/>
    <w:rsid w:val="00AF19A7"/>
    <w:rsid w:val="00B0601B"/>
    <w:rsid w:val="00B53462"/>
    <w:rsid w:val="00B55313"/>
    <w:rsid w:val="00B7375D"/>
    <w:rsid w:val="00B8237A"/>
    <w:rsid w:val="00C27437"/>
    <w:rsid w:val="00C501B2"/>
    <w:rsid w:val="00C57F89"/>
    <w:rsid w:val="00CE32C8"/>
    <w:rsid w:val="00D02051"/>
    <w:rsid w:val="00D21864"/>
    <w:rsid w:val="00D41AB9"/>
    <w:rsid w:val="00D9256F"/>
    <w:rsid w:val="00DC6A84"/>
    <w:rsid w:val="00DE2DEB"/>
    <w:rsid w:val="00E0510E"/>
    <w:rsid w:val="00E3555A"/>
    <w:rsid w:val="00E42A28"/>
    <w:rsid w:val="00E47972"/>
    <w:rsid w:val="00E50D4F"/>
    <w:rsid w:val="00E75051"/>
    <w:rsid w:val="00E95BD4"/>
    <w:rsid w:val="00EA1D37"/>
    <w:rsid w:val="00F51DC1"/>
    <w:rsid w:val="00F82902"/>
    <w:rsid w:val="00FE1248"/>
    <w:rsid w:val="0268343D"/>
    <w:rsid w:val="027C67C1"/>
    <w:rsid w:val="08956D5A"/>
    <w:rsid w:val="0AE61D4D"/>
    <w:rsid w:val="122F52B5"/>
    <w:rsid w:val="12F7160E"/>
    <w:rsid w:val="139B49AC"/>
    <w:rsid w:val="1D6534F7"/>
    <w:rsid w:val="1FFD47ED"/>
    <w:rsid w:val="20483A6E"/>
    <w:rsid w:val="23012AFD"/>
    <w:rsid w:val="241E61B7"/>
    <w:rsid w:val="28216810"/>
    <w:rsid w:val="2A946A02"/>
    <w:rsid w:val="306011A2"/>
    <w:rsid w:val="329857F5"/>
    <w:rsid w:val="33204E48"/>
    <w:rsid w:val="336D7DAA"/>
    <w:rsid w:val="34935B5E"/>
    <w:rsid w:val="35A4657B"/>
    <w:rsid w:val="365E4E5D"/>
    <w:rsid w:val="3AA10B64"/>
    <w:rsid w:val="3F166511"/>
    <w:rsid w:val="41C558B1"/>
    <w:rsid w:val="481A6220"/>
    <w:rsid w:val="49096301"/>
    <w:rsid w:val="491127C1"/>
    <w:rsid w:val="4DA84C0D"/>
    <w:rsid w:val="530F4D51"/>
    <w:rsid w:val="555D240C"/>
    <w:rsid w:val="60F3026C"/>
    <w:rsid w:val="6264226B"/>
    <w:rsid w:val="649A52CA"/>
    <w:rsid w:val="66360452"/>
    <w:rsid w:val="6CE520C8"/>
    <w:rsid w:val="717143E4"/>
    <w:rsid w:val="71DC2570"/>
    <w:rsid w:val="7674594C"/>
    <w:rsid w:val="78013455"/>
    <w:rsid w:val="7BC71102"/>
    <w:rsid w:val="7CB66E0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Theme="minorEastAsia"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Office</Company>
  <Pages>7</Pages>
  <Words>480</Words>
  <Characters>2739</Characters>
  <Lines>22</Lines>
  <Paragraphs>6</Paragraphs>
  <TotalTime>3</TotalTime>
  <ScaleCrop>false</ScaleCrop>
  <LinksUpToDate>false</LinksUpToDate>
  <CharactersWithSpaces>3213</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2025-07-09T09:08:00Z</dcterms:created>
  <dc:creator>大道至简1425433098</dc:creator>
  <cp:lastModifiedBy>ＷＪ</cp:lastModifiedBy>
  <cp:lastPrinted>2025-08-29T00:53:00Z</cp:lastPrinted>
  <dcterms:modified xsi:type="dcterms:W3CDTF">2025-11-05T00:58:12Z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